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6D" w:rsidRPr="00031DF0" w:rsidRDefault="00031DF0">
      <w:pPr>
        <w:rPr>
          <w:b/>
          <w:sz w:val="44"/>
          <w:szCs w:val="44"/>
        </w:rPr>
      </w:pPr>
      <w:r w:rsidRPr="00031DF0">
        <w:rPr>
          <w:b/>
          <w:sz w:val="44"/>
          <w:szCs w:val="44"/>
        </w:rPr>
        <w:t>NCAA terms</w:t>
      </w:r>
    </w:p>
    <w:p w:rsidR="00031DF0" w:rsidRPr="00031DF0" w:rsidRDefault="00031DF0" w:rsidP="00031DF0">
      <w:pPr>
        <w:spacing w:after="0" w:line="240" w:lineRule="auto"/>
        <w:outlineLvl w:val="2"/>
        <w:rPr>
          <w:rFonts w:ascii="Arial" w:eastAsia="Times New Roman" w:hAnsi="Arial" w:cs="Arial"/>
          <w:b/>
          <w:bCs/>
          <w:color w:val="005EB8"/>
          <w:sz w:val="27"/>
          <w:szCs w:val="27"/>
        </w:rPr>
      </w:pPr>
      <w:r w:rsidRPr="00031DF0">
        <w:rPr>
          <w:rFonts w:ascii="Arial" w:eastAsia="Times New Roman" w:hAnsi="Arial" w:cs="Arial"/>
          <w:b/>
          <w:bCs/>
          <w:color w:val="005EB8"/>
          <w:sz w:val="27"/>
          <w:szCs w:val="27"/>
        </w:rPr>
        <w:t>Frequently Asked Questions</w:t>
      </w:r>
    </w:p>
    <w:p w:rsidR="00031DF0" w:rsidRPr="00031DF0" w:rsidRDefault="00031DF0" w:rsidP="00031DF0">
      <w:pPr>
        <w:spacing w:before="100" w:beforeAutospacing="1" w:after="100" w:afterAutospacing="1" w:line="240" w:lineRule="auto"/>
        <w:outlineLvl w:val="3"/>
        <w:rPr>
          <w:rFonts w:ascii="Arial" w:eastAsia="Times New Roman" w:hAnsi="Arial" w:cs="Arial"/>
          <w:b/>
          <w:bCs/>
          <w:color w:val="005EB8"/>
          <w:sz w:val="24"/>
          <w:szCs w:val="24"/>
        </w:rPr>
      </w:pPr>
      <w:r w:rsidRPr="00031DF0">
        <w:rPr>
          <w:rFonts w:ascii="Arial" w:eastAsia="Times New Roman" w:hAnsi="Arial" w:cs="Arial"/>
          <w:b/>
          <w:bCs/>
          <w:color w:val="005EB8"/>
          <w:sz w:val="24"/>
          <w:szCs w:val="24"/>
        </w:rPr>
        <w:t>What is a contact?</w:t>
      </w:r>
      <w:bookmarkStart w:id="0" w:name="_GoBack"/>
      <w:bookmarkEnd w:id="0"/>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A contact occurs any time a college coach says more than hello during a face-to-face contact with a college-bound student-athlete or his or her parents off the college’s campus.</w:t>
      </w:r>
    </w:p>
    <w:p w:rsidR="00031DF0" w:rsidRPr="00031DF0" w:rsidRDefault="00031DF0" w:rsidP="00031DF0">
      <w:pPr>
        <w:spacing w:after="0" w:line="240" w:lineRule="auto"/>
        <w:outlineLvl w:val="3"/>
        <w:rPr>
          <w:rFonts w:ascii="Arial" w:eastAsia="Times New Roman" w:hAnsi="Arial" w:cs="Arial"/>
          <w:b/>
          <w:bCs/>
          <w:color w:val="005EB8"/>
          <w:sz w:val="24"/>
          <w:szCs w:val="24"/>
        </w:rPr>
      </w:pPr>
      <w:r w:rsidRPr="00031DF0">
        <w:rPr>
          <w:rFonts w:ascii="Arial" w:eastAsia="Times New Roman" w:hAnsi="Arial" w:cs="Arial"/>
          <w:b/>
          <w:bCs/>
          <w:color w:val="005EB8"/>
          <w:sz w:val="24"/>
          <w:szCs w:val="24"/>
        </w:rPr>
        <w:t>What is a contact period?</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During a contact period a college coach may have face-to-face contact with college-bound student-athletes or their parents, watch student-athletes compete and visit their high schools, and write or telephone student-athletes or their parents.</w:t>
      </w:r>
    </w:p>
    <w:p w:rsidR="00031DF0" w:rsidRPr="00031DF0" w:rsidRDefault="00031DF0" w:rsidP="00031DF0">
      <w:pPr>
        <w:spacing w:after="0" w:line="240" w:lineRule="auto"/>
        <w:outlineLvl w:val="3"/>
        <w:rPr>
          <w:rFonts w:ascii="Arial" w:eastAsia="Times New Roman" w:hAnsi="Arial" w:cs="Arial"/>
          <w:b/>
          <w:bCs/>
          <w:color w:val="005EB8"/>
          <w:sz w:val="24"/>
          <w:szCs w:val="24"/>
        </w:rPr>
      </w:pPr>
      <w:r w:rsidRPr="00031DF0">
        <w:rPr>
          <w:rFonts w:ascii="Arial" w:eastAsia="Times New Roman" w:hAnsi="Arial" w:cs="Arial"/>
          <w:b/>
          <w:bCs/>
          <w:color w:val="005EB8"/>
          <w:sz w:val="24"/>
          <w:szCs w:val="24"/>
        </w:rPr>
        <w:t>What is an evaluation period?</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During an evaluation period a college coach may watch college-bound student-athletes compete, visit their high schools, and write or telephone student-athletes or their parents. However, a college coach may not have face-to-face contact with college-bound student-athletes or their parents off the college’s campus during an evaluation period.</w:t>
      </w:r>
    </w:p>
    <w:p w:rsidR="00031DF0" w:rsidRPr="00031DF0" w:rsidRDefault="00031DF0" w:rsidP="00031DF0">
      <w:pPr>
        <w:spacing w:after="0" w:line="240" w:lineRule="auto"/>
        <w:outlineLvl w:val="3"/>
        <w:rPr>
          <w:rFonts w:ascii="Arial" w:eastAsia="Times New Roman" w:hAnsi="Arial" w:cs="Arial"/>
          <w:b/>
          <w:bCs/>
          <w:color w:val="005EB8"/>
          <w:sz w:val="24"/>
          <w:szCs w:val="24"/>
        </w:rPr>
      </w:pPr>
      <w:r w:rsidRPr="00031DF0">
        <w:rPr>
          <w:rFonts w:ascii="Arial" w:eastAsia="Times New Roman" w:hAnsi="Arial" w:cs="Arial"/>
          <w:b/>
          <w:bCs/>
          <w:color w:val="005EB8"/>
          <w:sz w:val="24"/>
          <w:szCs w:val="24"/>
        </w:rPr>
        <w:t>What is a quiet period?</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During a quiet period, a college coach may only have face-to-face contact with college-bound student-athletes or their parents on the college’s campus.  A coach may not watch student-athletes compete (unless a competition occurs on the college’s campus) or visit their high schools. Coaches may write or telephone college-bound student-athletes or their parents during this time.</w:t>
      </w:r>
    </w:p>
    <w:p w:rsidR="00031DF0" w:rsidRPr="00031DF0" w:rsidRDefault="00031DF0" w:rsidP="00031DF0">
      <w:pPr>
        <w:spacing w:after="0" w:line="240" w:lineRule="auto"/>
        <w:outlineLvl w:val="3"/>
        <w:rPr>
          <w:rFonts w:ascii="Arial" w:eastAsia="Times New Roman" w:hAnsi="Arial" w:cs="Arial"/>
          <w:b/>
          <w:bCs/>
          <w:color w:val="005EB8"/>
          <w:sz w:val="24"/>
          <w:szCs w:val="24"/>
        </w:rPr>
      </w:pPr>
      <w:r w:rsidRPr="00031DF0">
        <w:rPr>
          <w:rFonts w:ascii="Arial" w:eastAsia="Times New Roman" w:hAnsi="Arial" w:cs="Arial"/>
          <w:b/>
          <w:bCs/>
          <w:color w:val="005EB8"/>
          <w:sz w:val="24"/>
          <w:szCs w:val="24"/>
        </w:rPr>
        <w:t>What is a dead period?</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 xml:space="preserve">During a dead </w:t>
      </w:r>
      <w:proofErr w:type="gramStart"/>
      <w:r w:rsidRPr="00031DF0">
        <w:rPr>
          <w:rFonts w:ascii="Arial" w:eastAsia="Times New Roman" w:hAnsi="Arial" w:cs="Arial"/>
          <w:color w:val="495057"/>
          <w:sz w:val="24"/>
          <w:szCs w:val="24"/>
        </w:rPr>
        <w:t>period</w:t>
      </w:r>
      <w:proofErr w:type="gramEnd"/>
      <w:r w:rsidRPr="00031DF0">
        <w:rPr>
          <w:rFonts w:ascii="Arial" w:eastAsia="Times New Roman" w:hAnsi="Arial" w:cs="Arial"/>
          <w:color w:val="495057"/>
          <w:sz w:val="24"/>
          <w:szCs w:val="24"/>
        </w:rPr>
        <w:t xml:space="preserve"> a college coach may not have face-to-face contact with college-bound student-athletes or their parents, and may not watch student-athletes compete or visit their high schools. Coaches may write and telephone student-athletes or their parents during a dead period.</w:t>
      </w:r>
    </w:p>
    <w:p w:rsidR="00031DF0" w:rsidRPr="00031DF0" w:rsidRDefault="00031DF0" w:rsidP="00031DF0">
      <w:pPr>
        <w:spacing w:after="0" w:line="240" w:lineRule="auto"/>
        <w:outlineLvl w:val="3"/>
        <w:rPr>
          <w:rFonts w:ascii="Arial" w:eastAsia="Times New Roman" w:hAnsi="Arial" w:cs="Arial"/>
          <w:b/>
          <w:bCs/>
          <w:color w:val="005EB8"/>
          <w:sz w:val="24"/>
          <w:szCs w:val="24"/>
        </w:rPr>
      </w:pPr>
      <w:r w:rsidRPr="00031DF0">
        <w:rPr>
          <w:rFonts w:ascii="Arial" w:eastAsia="Times New Roman" w:hAnsi="Arial" w:cs="Arial"/>
          <w:b/>
          <w:bCs/>
          <w:color w:val="005EB8"/>
          <w:sz w:val="24"/>
          <w:szCs w:val="24"/>
        </w:rPr>
        <w:t>What is the difference between an official visit and an unofficial visit?</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Any visit to a college campus by a college-bound student-athlete or his or her parents paid for by the college is an official visit. Visits paid for by college-bound student-athletes or their parents are unofficial visits.</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lastRenderedPageBreak/>
        <w:t>During an official visit the college can pay for transportation to and from the college for the prospect, lodging and three meals per day for both the prospect and the parent or guardian, as well as reasonable entertainment expenses including three tickets to a home sports event.</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The only expenses a college-bound student-athlete may receive from a college during an unofficial visit are three tickets to a home sports event.</w:t>
      </w:r>
    </w:p>
    <w:p w:rsidR="00031DF0" w:rsidRPr="00031DF0" w:rsidRDefault="00031DF0" w:rsidP="00031DF0">
      <w:pPr>
        <w:spacing w:after="0" w:line="240" w:lineRule="auto"/>
        <w:outlineLvl w:val="3"/>
        <w:rPr>
          <w:rFonts w:ascii="Arial" w:eastAsia="Times New Roman" w:hAnsi="Arial" w:cs="Arial"/>
          <w:b/>
          <w:bCs/>
          <w:color w:val="005EB8"/>
          <w:sz w:val="24"/>
          <w:szCs w:val="24"/>
        </w:rPr>
      </w:pPr>
      <w:r w:rsidRPr="00031DF0">
        <w:rPr>
          <w:rFonts w:ascii="Arial" w:eastAsia="Times New Roman" w:hAnsi="Arial" w:cs="Arial"/>
          <w:b/>
          <w:bCs/>
          <w:color w:val="005EB8"/>
          <w:sz w:val="24"/>
          <w:szCs w:val="24"/>
        </w:rPr>
        <w:t>What is a National Letter of Intent?</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A National Letter of Intent is signed by a college-bound student-athlete when the student-athlete agrees to attend a Division I or II college or university for one academic year. Participating institutions agree to provide financial aid for one academic year to the student-athlete as long as the student-athlete is admitted to the school and is eligible for financial aid under NCAA rules. Other forms of financial aid do not guarantee the student-athlete financial aid.</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The National Letter of Intent is voluntary and not required for a student-athlete to receive financial aid or participate in sports.</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 xml:space="preserve">Signing </w:t>
      </w:r>
      <w:proofErr w:type="gramStart"/>
      <w:r w:rsidRPr="00031DF0">
        <w:rPr>
          <w:rFonts w:ascii="Arial" w:eastAsia="Times New Roman" w:hAnsi="Arial" w:cs="Arial"/>
          <w:color w:val="495057"/>
          <w:sz w:val="24"/>
          <w:szCs w:val="24"/>
        </w:rPr>
        <w:t>an</w:t>
      </w:r>
      <w:proofErr w:type="gramEnd"/>
      <w:r w:rsidRPr="00031DF0">
        <w:rPr>
          <w:rFonts w:ascii="Arial" w:eastAsia="Times New Roman" w:hAnsi="Arial" w:cs="Arial"/>
          <w:color w:val="495057"/>
          <w:sz w:val="24"/>
          <w:szCs w:val="24"/>
        </w:rPr>
        <w:t xml:space="preserve"> National Letter of Intent ends the recruiting process since participating schools are prohibited from recruiting student-athletes who have already signed letters with other participating schools.</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A student-athlete who has signed a National Letter of Intent may request a release from his or her contract with the school. If a student-athlete signs a National Letter of Intent with one school but attends a different school, he or she will lose one full year of eligibility and must complete a full academic year at their new school before being eligible to compete.</w:t>
      </w:r>
    </w:p>
    <w:p w:rsidR="00031DF0" w:rsidRPr="00031DF0" w:rsidRDefault="00031DF0" w:rsidP="00031DF0">
      <w:pPr>
        <w:spacing w:after="0" w:line="240" w:lineRule="auto"/>
        <w:outlineLvl w:val="3"/>
        <w:rPr>
          <w:rFonts w:ascii="Arial" w:eastAsia="Times New Roman" w:hAnsi="Arial" w:cs="Arial"/>
          <w:b/>
          <w:bCs/>
          <w:color w:val="005EB8"/>
          <w:sz w:val="24"/>
          <w:szCs w:val="24"/>
        </w:rPr>
      </w:pPr>
      <w:r w:rsidRPr="00031DF0">
        <w:rPr>
          <w:rFonts w:ascii="Arial" w:eastAsia="Times New Roman" w:hAnsi="Arial" w:cs="Arial"/>
          <w:b/>
          <w:bCs/>
          <w:color w:val="005EB8"/>
          <w:sz w:val="24"/>
          <w:szCs w:val="24"/>
        </w:rPr>
        <w:t>What are recruiting calendars?</w:t>
      </w:r>
    </w:p>
    <w:p w:rsidR="00031DF0" w:rsidRPr="00031DF0" w:rsidRDefault="00031DF0" w:rsidP="00031DF0">
      <w:pPr>
        <w:spacing w:before="100" w:beforeAutospacing="1" w:after="100" w:afterAutospacing="1" w:line="240" w:lineRule="auto"/>
        <w:rPr>
          <w:rFonts w:ascii="Arial" w:eastAsia="Times New Roman" w:hAnsi="Arial" w:cs="Arial"/>
          <w:color w:val="495057"/>
          <w:sz w:val="24"/>
          <w:szCs w:val="24"/>
        </w:rPr>
      </w:pPr>
      <w:r w:rsidRPr="00031DF0">
        <w:rPr>
          <w:rFonts w:ascii="Arial" w:eastAsia="Times New Roman" w:hAnsi="Arial" w:cs="Arial"/>
          <w:color w:val="495057"/>
          <w:sz w:val="24"/>
          <w:szCs w:val="24"/>
        </w:rPr>
        <w:t>Recruiting calendars help promote the well-being prospective student-athletes and coaches and ensure competitive equity by defining certain time periods in which recruiting may or may not occur in a particular sport.</w:t>
      </w:r>
    </w:p>
    <w:p w:rsidR="00031DF0" w:rsidRDefault="00031DF0"/>
    <w:sectPr w:rsidR="0003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F0"/>
    <w:rsid w:val="00031DF0"/>
    <w:rsid w:val="00E50FE1"/>
    <w:rsid w:val="00E6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3DF3"/>
  <w15:chartTrackingRefBased/>
  <w15:docId w15:val="{209BE3B5-3AF3-4FCB-99FF-BDA39CB8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Hilliard City Schools</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Woodford</dc:creator>
  <cp:keywords/>
  <dc:description/>
  <cp:lastModifiedBy>Tom Woodford</cp:lastModifiedBy>
  <cp:revision>1</cp:revision>
  <dcterms:created xsi:type="dcterms:W3CDTF">2020-10-06T14:10:00Z</dcterms:created>
  <dcterms:modified xsi:type="dcterms:W3CDTF">2020-10-06T14:10:00Z</dcterms:modified>
</cp:coreProperties>
</file>